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TBA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– </w:t>
      </w:r>
      <w:r>
        <w:rPr>
          <w:rFonts w:ascii="Cambria" w:cs="Cambria" w:hAnsi="Cambria" w:eastAsia="Cambria"/>
          <w:sz w:val="24"/>
          <w:szCs w:val="24"/>
          <w:rtl w:val="0"/>
          <w:lang w:val="en-US"/>
        </w:rPr>
        <w:t>Krapina, Hrvatska</w:t>
      </w:r>
    </w:p>
    <w:p>
      <w:pPr>
        <w:pStyle w:val="Normal.0"/>
        <w:spacing w:after="0" w:line="240" w:lineRule="auto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n-US"/>
        </w:rPr>
        <w:t xml:space="preserve">SZ104: SZ pregled IV 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n-US"/>
        </w:rPr>
        <w:t>Mudrosna knji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n-US"/>
        </w:rPr>
        <w:t>ž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n-US"/>
        </w:rPr>
        <w:t>evnost</w:t>
      </w:r>
    </w:p>
    <w:p>
      <w:pPr>
        <w:pStyle w:val="Normal.0"/>
        <w:spacing w:after="0" w:line="240" w:lineRule="auto"/>
        <w:jc w:val="center"/>
        <w:rPr>
          <w:rFonts w:ascii="Cambria" w:cs="Cambria" w:hAnsi="Cambria" w:eastAsia="Cambria"/>
          <w:sz w:val="24"/>
          <w:szCs w:val="24"/>
        </w:rPr>
      </w:pPr>
      <w:r>
        <w:rPr>
          <w:rFonts w:ascii="Cambria" w:cs="Cambria" w:hAnsi="Cambria" w:eastAsia="Cambria"/>
          <w:sz w:val="24"/>
          <w:szCs w:val="24"/>
          <w:rtl w:val="0"/>
          <w:lang w:val="en-US"/>
        </w:rPr>
        <w:t xml:space="preserve">Opisni katalog kolegija </w:t>
      </w:r>
    </w:p>
    <w:p>
      <w:pPr>
        <w:pStyle w:val="Normal.0"/>
        <w:spacing w:after="0" w:line="240" w:lineRule="auto"/>
        <w:jc w:val="center"/>
        <w:rPr>
          <w:rFonts w:ascii="Cambria" w:cs="Cambria" w:hAnsi="Cambria" w:eastAsia="Cambria"/>
          <w:sz w:val="24"/>
          <w:szCs w:val="24"/>
        </w:rPr>
      </w:pPr>
    </w:p>
    <w:tbl>
      <w:tblPr>
        <w:tblW w:w="103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8"/>
        <w:gridCol w:w="900"/>
        <w:gridCol w:w="810"/>
        <w:gridCol w:w="270"/>
        <w:gridCol w:w="360"/>
        <w:gridCol w:w="990"/>
        <w:gridCol w:w="810"/>
        <w:gridCol w:w="270"/>
        <w:gridCol w:w="1710"/>
        <w:gridCol w:w="180"/>
        <w:gridCol w:w="180"/>
        <w:gridCol w:w="1440"/>
        <w:gridCol w:w="1378"/>
      </w:tblGrid>
      <w:tr>
        <w:tblPrEx>
          <w:shd w:val="clear" w:color="auto" w:fill="ced7e7"/>
        </w:tblPrEx>
        <w:trPr>
          <w:trHeight w:val="830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  <w:lang w:val="en-US"/>
              </w:rPr>
              <w:t>a. kolegij #:</w:t>
            </w:r>
          </w:p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SZ104</w:t>
            </w:r>
          </w:p>
        </w:tc>
        <w:tc>
          <w:tcPr>
            <w:tcW w:type="dxa" w:w="19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>b. Naziv kolegija</w:t>
            </w:r>
          </w:p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Pregled SZ IV -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n-US"/>
              </w:rPr>
              <w:t>Mudrosna knji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n-US"/>
              </w:rPr>
              <w:t>ž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n-US"/>
              </w:rPr>
              <w:t>evnost</w:t>
            </w:r>
          </w:p>
        </w:tc>
        <w:tc>
          <w:tcPr>
            <w:tcW w:type="dxa" w:w="1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  <w:lang w:val="en-US"/>
              </w:rPr>
              <w:t>c. # i vrsta bodova:</w:t>
            </w:r>
            <w:r>
              <w:rPr>
                <w:sz w:val="22"/>
                <w:szCs w:val="22"/>
                <w:rtl w:val="0"/>
                <w:lang w:val="en-US"/>
              </w:rPr>
              <w:t xml:space="preserve"> </w:t>
            </w:r>
          </w:p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3 sem. sata</w:t>
            </w:r>
          </w:p>
        </w:tc>
        <w:tc>
          <w:tcPr>
            <w:tcW w:type="dxa" w:w="315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d. Akademski nivo: </w:t>
            </w:r>
          </w:p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Prvostupni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ki stupanj- uvodna razina</w:t>
            </w:r>
          </w:p>
        </w:tc>
        <w:tc>
          <w:tcPr>
            <w:tcW w:type="dxa" w:w="281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16"/>
                <w:szCs w:val="16"/>
                <w:rtl w:val="0"/>
                <w:lang w:val="en-US"/>
              </w:rPr>
              <w:t>e. TMAI web str. gdje se predaje:</w:t>
            </w:r>
          </w:p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    Krapina, HRVATSKA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27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  <w:rtl w:val="0"/>
                <w:lang w:val="en-US"/>
              </w:rPr>
              <w:t>f. Oblik predavanja:</w:t>
            </w:r>
          </w:p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         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U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  <w:lang w:val="en-US"/>
              </w:rPr>
              <w:t>ionica</w:t>
            </w:r>
            <w:r>
              <w:rPr>
                <w:sz w:val="20"/>
                <w:szCs w:val="20"/>
              </w:rPr>
            </w:r>
          </w:p>
        </w:tc>
        <w:tc>
          <w:tcPr>
            <w:tcW w:type="dxa" w:w="7588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b w:val="1"/>
                <w:bCs w:val="1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16"/>
                <w:szCs w:val="16"/>
                <w:rtl w:val="0"/>
                <w:lang w:val="en-US"/>
              </w:rPr>
              <w:t>g. Ciljano slu</w:t>
            </w:r>
            <w:r>
              <w:rPr>
                <w:rFonts w:ascii="Calibri" w:cs="Calibri" w:hAnsi="Calibri" w:eastAsia="Calibri"/>
                <w:b w:val="0"/>
                <w:bCs w:val="0"/>
                <w:sz w:val="16"/>
                <w:szCs w:val="16"/>
                <w:rtl w:val="0"/>
                <w:lang w:val="en-US"/>
              </w:rPr>
              <w:t>š</w:t>
            </w:r>
            <w:r>
              <w:rPr>
                <w:rFonts w:ascii="Calibri" w:cs="Calibri" w:hAnsi="Calibri" w:eastAsia="Calibri"/>
                <w:b w:val="0"/>
                <w:bCs w:val="0"/>
                <w:sz w:val="16"/>
                <w:szCs w:val="16"/>
                <w:rtl w:val="0"/>
                <w:lang w:val="en-US"/>
              </w:rPr>
              <w:t>ateljstvo:</w:t>
            </w:r>
          </w:p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bidi w:val="0"/>
              <w:spacing w:after="0" w:line="240" w:lineRule="auto"/>
              <w:ind w:left="36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Studenti koji imaju </w:t>
            </w:r>
            <w:r>
              <w:rPr>
                <w:b w:val="1"/>
                <w:bCs w:val="1"/>
                <w:rtl w:val="0"/>
                <w:lang w:val="en-US"/>
              </w:rPr>
              <w:t>ž</w:t>
            </w:r>
            <w:r>
              <w:rPr>
                <w:b w:val="1"/>
                <w:bCs w:val="1"/>
                <w:rtl w:val="0"/>
                <w:lang w:val="en-US"/>
              </w:rPr>
              <w:t>elju i namjeru slu</w:t>
            </w:r>
            <w:r>
              <w:rPr>
                <w:b w:val="1"/>
                <w:bCs w:val="1"/>
                <w:rtl w:val="0"/>
                <w:lang w:val="en-US"/>
              </w:rPr>
              <w:t>ž</w:t>
            </w:r>
            <w:r>
              <w:rPr>
                <w:b w:val="1"/>
                <w:bCs w:val="1"/>
                <w:rtl w:val="0"/>
                <w:lang w:val="en-US"/>
              </w:rPr>
              <w:t xml:space="preserve">iti u lokalnoj crkvi </w:t>
            </w:r>
          </w:p>
        </w:tc>
      </w:tr>
      <w:tr>
        <w:tblPrEx>
          <w:shd w:val="clear" w:color="auto" w:fill="ced7e7"/>
        </w:tblPrEx>
        <w:trPr>
          <w:trHeight w:val="830" w:hRule="atLeast"/>
        </w:trPr>
        <w:tc>
          <w:tcPr>
            <w:tcW w:type="dxa" w:w="27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>h. Primarni jezik ciljanog slu</w:t>
            </w:r>
            <w:r>
              <w:rPr>
                <w:sz w:val="16"/>
                <w:szCs w:val="16"/>
                <w:rtl w:val="0"/>
                <w:lang w:val="en-US"/>
              </w:rPr>
              <w:t>š</w:t>
            </w:r>
            <w:r>
              <w:rPr>
                <w:sz w:val="16"/>
                <w:szCs w:val="16"/>
                <w:rtl w:val="0"/>
                <w:lang w:val="en-US"/>
              </w:rPr>
              <w:t>ateljstva:</w:t>
            </w:r>
          </w:p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16"/>
                <w:szCs w:val="16"/>
                <w:rtl w:val="0"/>
                <w:lang w:val="en-US"/>
              </w:rPr>
              <w:t xml:space="preserve">                               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Hrvatski</w:t>
            </w:r>
            <w:r>
              <w:rPr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243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i. Primarni jezik predavanja: </w:t>
            </w:r>
          </w:p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16"/>
                <w:szCs w:val="16"/>
                <w:rtl w:val="0"/>
                <w:lang w:val="en-US"/>
              </w:rPr>
              <w:t xml:space="preserve">                  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Hrvatski</w:t>
            </w:r>
          </w:p>
        </w:tc>
        <w:tc>
          <w:tcPr>
            <w:tcW w:type="dxa" w:w="21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>j. Ako su jezici druga</w:t>
            </w:r>
            <w:r>
              <w:rPr>
                <w:sz w:val="16"/>
                <w:szCs w:val="16"/>
                <w:rtl w:val="0"/>
                <w:lang w:val="en-US"/>
              </w:rPr>
              <w:t>č</w:t>
            </w:r>
            <w:r>
              <w:rPr>
                <w:sz w:val="16"/>
                <w:szCs w:val="16"/>
                <w:rtl w:val="0"/>
                <w:lang w:val="en-US"/>
              </w:rPr>
              <w:t xml:space="preserve">iji, jeli prijevod osiguran? </w:t>
            </w:r>
          </w:p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16"/>
                <w:szCs w:val="16"/>
                <w:rtl w:val="0"/>
                <w:lang w:val="en-US"/>
              </w:rPr>
              <w:t xml:space="preserve">           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DA</w:t>
            </w:r>
          </w:p>
        </w:tc>
        <w:tc>
          <w:tcPr>
            <w:tcW w:type="dxa" w:w="29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Ima li ovaj kolegij vanjsku akreditaciju, ako da, od koga? </w:t>
            </w:r>
          </w:p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NE</w:t>
            </w:r>
          </w:p>
        </w:tc>
      </w:tr>
      <w:tr>
        <w:tblPrEx>
          <w:shd w:val="clear" w:color="auto" w:fill="ced7e7"/>
        </w:tblPrEx>
        <w:trPr>
          <w:trHeight w:val="870" w:hRule="atLeast"/>
        </w:trPr>
        <w:tc>
          <w:tcPr>
            <w:tcW w:type="dxa" w:w="10306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k. Opis kolegija: </w:t>
            </w:r>
          </w:p>
          <w:p>
            <w:pPr>
              <w:pStyle w:val="Normal.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80"/>
                <w:tab w:val="left" w:pos="9580"/>
                <w:tab w:val="left" w:pos="9580"/>
                <w:tab w:val="left" w:pos="9580"/>
                <w:tab w:val="left" w:pos="9580"/>
                <w:tab w:val="left" w:pos="958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Ovaj kolegij je osmi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š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ljen kako bi pru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ž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io pregled mudrosne knji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ž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evnosti SZ-a (Job-Pjesma nad pjesmama). Usredoto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č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it 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ć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e se na prepoznavanje i razumijevanje 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ž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anra mudrosne knji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ž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 xml:space="preserve">evnosti i kako propovijedati ovaj 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ž</w:t>
            </w:r>
            <w:r>
              <w:rPr>
                <w:b w:val="1"/>
                <w:bCs w:val="1"/>
                <w:outline w:val="0"/>
                <w:color w:val="212121"/>
                <w:sz w:val="20"/>
                <w:szCs w:val="20"/>
                <w:u w:color="212121"/>
                <w:rtl w:val="0"/>
                <w14:textFill>
                  <w14:solidFill>
                    <w14:srgbClr w14:val="212121"/>
                  </w14:solidFill>
                </w14:textFill>
              </w:rPr>
              <w:t>anr.</w:t>
            </w:r>
          </w:p>
        </w:tc>
      </w:tr>
      <w:tr>
        <w:tblPrEx>
          <w:shd w:val="clear" w:color="auto" w:fill="ced7e7"/>
        </w:tblPrEx>
        <w:trPr>
          <w:trHeight w:val="2990" w:hRule="atLeast"/>
        </w:trPr>
        <w:tc>
          <w:tcPr>
            <w:tcW w:type="dxa" w:w="10306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>l. Ishodi u</w:t>
            </w:r>
            <w:r>
              <w:rPr>
                <w:sz w:val="16"/>
                <w:szCs w:val="16"/>
                <w:rtl w:val="0"/>
                <w:lang w:val="en-US"/>
              </w:rPr>
              <w:t>č</w:t>
            </w:r>
            <w:r>
              <w:rPr>
                <w:sz w:val="16"/>
                <w:szCs w:val="16"/>
                <w:rtl w:val="0"/>
                <w:lang w:val="en-US"/>
              </w:rPr>
              <w:t>enja:</w:t>
            </w:r>
          </w:p>
          <w:p>
            <w:pPr>
              <w:pStyle w:val="default"/>
              <w:bidi w:val="0"/>
              <w:spacing w:after="120"/>
              <w:ind w:left="0" w:right="0" w:firstLine="0"/>
              <w:jc w:val="both"/>
              <w:rPr>
                <w:rFonts w:ascii="Calibri" w:cs="Calibri" w:hAnsi="Calibri" w:eastAsia="Calibri"/>
                <w:sz w:val="18"/>
                <w:szCs w:val="18"/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    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 xml:space="preserve">Na kraju kolegija student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ć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e znati: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after="120"/>
              <w:ind w:right="0"/>
              <w:jc w:val="both"/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Prozboriti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o svakoj knjzi (osim Psalama), navoditi tematiku knjige i klju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ne ulomke.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after="120"/>
              <w:ind w:right="0"/>
              <w:jc w:val="both"/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Prepoznati klasifikaciju i vrstu Psalma koji je obuhvatio Psalmista.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after="120"/>
              <w:ind w:right="0"/>
              <w:jc w:val="both"/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Razumjeti hermeneuti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ki process mudrosne knji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ž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evnosti.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after="120"/>
              <w:ind w:right="0"/>
              <w:jc w:val="both"/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Biti upoznat sa razli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itim knji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ž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evnim pomagalima koja su uklju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č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ena u mudrosnoj knji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ž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evnosti.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after="120"/>
              <w:ind w:right="0"/>
              <w:jc w:val="both"/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Pokazati vje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š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tinu ekspozitorskog propovijedanja iz svake knjige mudrosne knji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ž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evnosti.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after="120"/>
              <w:ind w:right="0"/>
              <w:jc w:val="both"/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 xml:space="preserve">Razumjeti Salomonov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ž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ivot, koji daje kontekst Pjesmi nad pjesmama, Izrekama i knjizi Propovijednika.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after="120"/>
              <w:ind w:right="0"/>
              <w:jc w:val="both"/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Razumjeti ulogu mudrosne knji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ž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evnosti unutar okvira Starog zavjeta.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after="120"/>
              <w:ind w:right="0"/>
              <w:jc w:val="both"/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Pokazati vje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š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 xml:space="preserve">tinu u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pregledu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n-US"/>
              </w:rPr>
              <w:t>obje knjige te pojasniti glavne tematike.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0306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</w:pPr>
            <w:r>
              <w:rPr>
                <w:sz w:val="16"/>
                <w:szCs w:val="16"/>
                <w:rtl w:val="0"/>
                <w:lang w:val="en-US"/>
              </w:rPr>
              <w:t>m. Predvi</w:t>
            </w:r>
            <w:r>
              <w:rPr>
                <w:sz w:val="16"/>
                <w:szCs w:val="16"/>
                <w:rtl w:val="0"/>
                <w:lang w:val="en-US"/>
              </w:rPr>
              <w:t>đ</w:t>
            </w:r>
            <w:r>
              <w:rPr>
                <w:sz w:val="16"/>
                <w:szCs w:val="16"/>
                <w:rtl w:val="0"/>
                <w:lang w:val="en-US"/>
              </w:rPr>
              <w:t xml:space="preserve">eno studentsko vrijeme: 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9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</w:pPr>
            <w:r>
              <w:rPr>
                <w:sz w:val="14"/>
                <w:szCs w:val="14"/>
                <w:rtl w:val="0"/>
                <w:lang w:val="en-US"/>
              </w:rPr>
              <w:t>Video, predavanja, u</w:t>
            </w:r>
            <w:r>
              <w:rPr>
                <w:sz w:val="14"/>
                <w:szCs w:val="14"/>
                <w:rtl w:val="0"/>
                <w:lang w:val="en-US"/>
              </w:rPr>
              <w:t>č</w:t>
            </w:r>
            <w:r>
              <w:rPr>
                <w:sz w:val="14"/>
                <w:szCs w:val="14"/>
                <w:rtl w:val="0"/>
                <w:lang w:val="en-US"/>
              </w:rPr>
              <w:t xml:space="preserve">ionica </w:t>
            </w:r>
          </w:p>
        </w:tc>
        <w:tc>
          <w:tcPr>
            <w:tcW w:type="dxa" w:w="1440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</w:pPr>
            <w:r>
              <w:rPr>
                <w:sz w:val="14"/>
                <w:szCs w:val="14"/>
                <w:rtl w:val="0"/>
                <w:lang w:val="en-US"/>
              </w:rPr>
              <w:t>Č</w:t>
            </w:r>
            <w:r>
              <w:rPr>
                <w:sz w:val="14"/>
                <w:szCs w:val="14"/>
                <w:rtl w:val="0"/>
                <w:lang w:val="en-US"/>
              </w:rPr>
              <w:t xml:space="preserve">itanje i suranja  </w:t>
            </w:r>
          </w:p>
        </w:tc>
        <w:tc>
          <w:tcPr>
            <w:tcW w:type="dxa" w:w="2070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</w:pPr>
            <w:r>
              <w:rPr>
                <w:sz w:val="14"/>
                <w:szCs w:val="14"/>
                <w:rtl w:val="0"/>
                <w:lang w:val="en-US"/>
              </w:rPr>
              <w:t>Ostali doma</w:t>
            </w:r>
            <w:r>
              <w:rPr>
                <w:sz w:val="14"/>
                <w:szCs w:val="14"/>
                <w:rtl w:val="0"/>
                <w:lang w:val="en-US"/>
              </w:rPr>
              <w:t>ć</w:t>
            </w:r>
            <w:r>
              <w:rPr>
                <w:sz w:val="14"/>
                <w:szCs w:val="14"/>
                <w:rtl w:val="0"/>
                <w:lang w:val="en-US"/>
              </w:rPr>
              <w:t xml:space="preserve">i uratci 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</w:pPr>
            <w:r>
              <w:rPr>
                <w:sz w:val="14"/>
                <w:szCs w:val="14"/>
                <w:rtl w:val="0"/>
                <w:lang w:val="en-US"/>
              </w:rPr>
              <w:t xml:space="preserve">Radnje i projekti kolegija  </w:t>
            </w:r>
          </w:p>
        </w:tc>
        <w:tc>
          <w:tcPr>
            <w:tcW w:type="dxa" w:w="1800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</w:pPr>
            <w:r>
              <w:rPr>
                <w:sz w:val="14"/>
                <w:szCs w:val="14"/>
                <w:rtl w:val="0"/>
                <w:lang w:val="en-US"/>
              </w:rPr>
              <w:t xml:space="preserve">Priprema za ispit i razgovor 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</w:pPr>
            <w:r>
              <w:rPr>
                <w:sz w:val="14"/>
                <w:szCs w:val="14"/>
                <w:rtl w:val="0"/>
                <w:lang w:val="en-US"/>
              </w:rPr>
              <w:t>Ukupno  studentko vrijeme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1908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48 h. </w:t>
            </w:r>
          </w:p>
        </w:tc>
        <w:tc>
          <w:tcPr>
            <w:tcW w:type="dxa" w:w="144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40 h. </w:t>
            </w:r>
          </w:p>
        </w:tc>
        <w:tc>
          <w:tcPr>
            <w:tcW w:type="dxa" w:w="207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15 h.</w:t>
            </w:r>
          </w:p>
        </w:tc>
        <w:tc>
          <w:tcPr>
            <w:tcW w:type="dxa" w:w="17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40 h. </w:t>
            </w:r>
          </w:p>
        </w:tc>
        <w:tc>
          <w:tcPr>
            <w:tcW w:type="dxa" w:w="180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12 h. </w:t>
            </w:r>
          </w:p>
        </w:tc>
        <w:tc>
          <w:tcPr>
            <w:tcW w:type="dxa" w:w="137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155 h.</w:t>
            </w:r>
          </w:p>
        </w:tc>
      </w:tr>
      <w:tr>
        <w:tblPrEx>
          <w:shd w:val="clear" w:color="auto" w:fill="ced7e7"/>
        </w:tblPrEx>
        <w:trPr>
          <w:trHeight w:val="1965" w:hRule="atLeast"/>
        </w:trPr>
        <w:tc>
          <w:tcPr>
            <w:tcW w:type="dxa" w:w="10306"/>
            <w:gridSpan w:val="1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n. Neophodan broj stranica za </w:t>
            </w:r>
            <w:r>
              <w:rPr>
                <w:sz w:val="16"/>
                <w:szCs w:val="16"/>
                <w:rtl w:val="0"/>
                <w:lang w:val="en-US"/>
              </w:rPr>
              <w:t>č</w:t>
            </w:r>
            <w:r>
              <w:rPr>
                <w:sz w:val="16"/>
                <w:szCs w:val="16"/>
                <w:rtl w:val="0"/>
                <w:lang w:val="en-US"/>
              </w:rPr>
              <w:t>itanje i tipi</w:t>
            </w:r>
            <w:r>
              <w:rPr>
                <w:sz w:val="16"/>
                <w:szCs w:val="16"/>
                <w:rtl w:val="0"/>
                <w:lang w:val="en-US"/>
              </w:rPr>
              <w:t>č</w:t>
            </w:r>
            <w:r>
              <w:rPr>
                <w:sz w:val="16"/>
                <w:szCs w:val="16"/>
                <w:rtl w:val="0"/>
                <w:lang w:val="en-US"/>
              </w:rPr>
              <w:t xml:space="preserve">ni nazivi zadataka. 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Ukupan broj stranica potreban za pro</w:t>
            </w:r>
            <w:r>
              <w:rPr>
                <w:sz w:val="20"/>
                <w:szCs w:val="20"/>
                <w:rtl w:val="0"/>
                <w:lang w:val="en-US"/>
              </w:rPr>
              <w:t>č</w:t>
            </w:r>
            <w:r>
              <w:rPr>
                <w:sz w:val="20"/>
                <w:szCs w:val="20"/>
                <w:rtl w:val="0"/>
                <w:lang w:val="en-US"/>
              </w:rPr>
              <w:t>itati: 460</w:t>
            </w:r>
          </w:p>
          <w:p>
            <w:pPr>
              <w:pStyle w:val="Bez prored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Probrane stranice iz MacArthur Bibijskog priru</w:t>
            </w:r>
            <w:r>
              <w:rPr>
                <w:sz w:val="20"/>
                <w:szCs w:val="20"/>
                <w:rtl w:val="0"/>
                <w:lang w:val="en-US"/>
              </w:rPr>
              <w:t>č</w:t>
            </w:r>
            <w:r>
              <w:rPr>
                <w:sz w:val="20"/>
                <w:szCs w:val="20"/>
                <w:rtl w:val="0"/>
                <w:lang w:val="en-US"/>
              </w:rPr>
              <w:t xml:space="preserve">nika </w:t>
            </w:r>
          </w:p>
          <w:p>
            <w:pPr>
              <w:pStyle w:val="Bez prored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Job 2 -x</w:t>
            </w:r>
          </w:p>
          <w:p>
            <w:pPr>
              <w:pStyle w:val="Bez prored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Psalmi 2-x</w:t>
            </w:r>
          </w:p>
          <w:p>
            <w:pPr>
              <w:pStyle w:val="Bez prored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Izreke 2-x</w:t>
            </w:r>
          </w:p>
          <w:p>
            <w:pPr>
              <w:pStyle w:val="Bez prored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Propovijednik 2-x</w:t>
            </w:r>
          </w:p>
          <w:p>
            <w:pPr>
              <w:pStyle w:val="Bez prored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Pjesma nad pjesmama 2-x</w:t>
            </w:r>
          </w:p>
          <w:p>
            <w:pPr>
              <w:pStyle w:val="Bez proreda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50 stranica iz odobrenog komentara od strane profesora </w:t>
            </w:r>
          </w:p>
        </w:tc>
      </w:tr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10306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proreda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en-US"/>
              </w:rPr>
              <w:t xml:space="preserve">o. Kratki opis glavnih radnji za kolegij: </w:t>
            </w:r>
          </w:p>
          <w:p>
            <w:pPr>
              <w:pStyle w:val="Bez proreda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Jedna odabrana propovijed iz </w:t>
            </w:r>
            <w:r>
              <w:rPr>
                <w:sz w:val="20"/>
                <w:szCs w:val="20"/>
                <w:rtl w:val="0"/>
                <w:lang w:val="en-US"/>
              </w:rPr>
              <w:t>“</w:t>
            </w:r>
            <w:r>
              <w:rPr>
                <w:sz w:val="20"/>
                <w:szCs w:val="20"/>
                <w:rtl w:val="0"/>
                <w:lang w:val="en-US"/>
              </w:rPr>
              <w:t>propovijedi</w:t>
            </w:r>
            <w:r>
              <w:rPr>
                <w:sz w:val="20"/>
                <w:szCs w:val="20"/>
                <w:rtl w:val="0"/>
                <w:lang w:val="en-US"/>
              </w:rPr>
              <w:t xml:space="preserve">” </w:t>
            </w:r>
            <w:r>
              <w:rPr>
                <w:sz w:val="20"/>
                <w:szCs w:val="20"/>
                <w:rtl w:val="0"/>
                <w:lang w:val="en-US"/>
              </w:rPr>
              <w:t>koja se nalazi u Izrekama 1-9</w:t>
            </w:r>
          </w:p>
          <w:p>
            <w:pPr>
              <w:pStyle w:val="Bez proreda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Pra</w:t>
            </w:r>
            <w:r>
              <w:rPr>
                <w:sz w:val="20"/>
                <w:szCs w:val="20"/>
                <w:rtl w:val="0"/>
                <w:lang w:val="en-US"/>
              </w:rPr>
              <w:t>ć</w:t>
            </w:r>
            <w:r>
              <w:rPr>
                <w:sz w:val="20"/>
                <w:szCs w:val="20"/>
                <w:rtl w:val="0"/>
                <w:lang w:val="en-US"/>
              </w:rPr>
              <w:t xml:space="preserve">enje naziva </w:t>
            </w:r>
            <w:r>
              <w:rPr>
                <w:sz w:val="20"/>
                <w:szCs w:val="20"/>
                <w:rtl w:val="0"/>
                <w:lang w:val="en-US"/>
              </w:rPr>
              <w:t>“</w:t>
            </w:r>
            <w:r>
              <w:rPr>
                <w:sz w:val="20"/>
                <w:szCs w:val="20"/>
                <w:rtl w:val="0"/>
                <w:lang w:val="en-US"/>
              </w:rPr>
              <w:t>hebel</w:t>
            </w:r>
            <w:r>
              <w:rPr>
                <w:sz w:val="20"/>
                <w:szCs w:val="20"/>
                <w:rtl w:val="0"/>
                <w:lang w:val="en-US"/>
              </w:rPr>
              <w:t xml:space="preserve">” </w:t>
            </w:r>
            <w:r>
              <w:rPr>
                <w:sz w:val="20"/>
                <w:szCs w:val="20"/>
                <w:rtl w:val="0"/>
                <w:lang w:val="en-US"/>
              </w:rPr>
              <w:t xml:space="preserve">u knjizi Propovijednika </w:t>
            </w:r>
          </w:p>
          <w:p>
            <w:pPr>
              <w:pStyle w:val="Bez proreda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Jedna poruka iz Pjesme nad pjesmama </w:t>
            </w:r>
          </w:p>
          <w:p>
            <w:pPr>
              <w:pStyle w:val="Bez proreda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Analiza mjesta gdje je Job bio u krivu a gdje u pravu </w:t>
            </w:r>
          </w:p>
          <w:p>
            <w:pPr>
              <w:pStyle w:val="Bez proreda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sz w:val="20"/>
                <w:szCs w:val="20"/>
                <w:rtl w:val="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Jedna poruka iz razli</w:t>
            </w:r>
            <w:r>
              <w:rPr>
                <w:sz w:val="20"/>
                <w:szCs w:val="20"/>
                <w:rtl w:val="0"/>
                <w:lang w:val="en-US"/>
              </w:rPr>
              <w:t>č</w:t>
            </w:r>
            <w:r>
              <w:rPr>
                <w:sz w:val="20"/>
                <w:szCs w:val="20"/>
                <w:rtl w:val="0"/>
                <w:lang w:val="en-US"/>
              </w:rPr>
              <w:t>itih klasifikacija Psalama od Psalmiste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</w:pPr>
      <w:r>
        <w:rPr>
          <w:rFonts w:ascii="Cambria" w:cs="Cambria" w:hAnsi="Cambria" w:eastAsia="Cambria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080" w:right="1080" w:bottom="720" w:left="1080" w:header="720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odnožje"/>
      <w:tabs>
        <w:tab w:val="right" w:pos="10060"/>
        <w:tab w:val="clear" w:pos="9360"/>
      </w:tabs>
    </w:pPr>
    <w:r>
      <w:rPr>
        <w:sz w:val="18"/>
        <w:szCs w:val="18"/>
        <w:rtl w:val="0"/>
        <w:lang w:val="en-US"/>
      </w:rPr>
      <w:t xml:space="preserve">Updated: </w:t>
    </w:r>
    <w:r>
      <w:rPr>
        <w:sz w:val="18"/>
        <w:szCs w:val="18"/>
        <w:rtl w:val="0"/>
      </w:rPr>
      <w:t>28</w:t>
    </w:r>
    <w:r>
      <w:rPr>
        <w:sz w:val="18"/>
        <w:szCs w:val="18"/>
        <w:rtl w:val="0"/>
        <w:lang w:val="en-US"/>
      </w:rPr>
      <w:t>/</w:t>
    </w:r>
    <w:r>
      <w:rPr>
        <w:sz w:val="18"/>
        <w:szCs w:val="18"/>
        <w:rtl w:val="0"/>
      </w:rPr>
      <w:t>10</w:t>
    </w:r>
    <w:r>
      <w:rPr>
        <w:sz w:val="18"/>
        <w:szCs w:val="18"/>
        <w:rtl w:val="0"/>
        <w:lang w:val="en-US"/>
      </w:rPr>
      <w:t>/1</w:t>
    </w:r>
    <w:r>
      <w:rPr>
        <w:sz w:val="18"/>
        <w:szCs w:val="18"/>
        <w:rtl w:val="0"/>
      </w:rPr>
      <w:t>9</w:t>
    </w:r>
    <w:r>
      <w:rPr>
        <w:sz w:val="18"/>
        <w:szCs w:val="18"/>
        <w:rtl w:val="0"/>
        <w:lang w:val="en-US"/>
      </w:rPr>
      <w:t xml:space="preserve"> </w:t>
      <w:tab/>
      <w:tab/>
      <w:t xml:space="preserve">pg. </w:t>
    </w: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PAGE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55"/>
        </w:tabs>
        <w:ind w:left="1367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077"/>
        </w:tabs>
        <w:ind w:left="2089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775"/>
        </w:tabs>
        <w:ind w:left="2787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485"/>
        </w:tabs>
        <w:ind w:left="349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07"/>
        </w:tabs>
        <w:ind w:left="4219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06"/>
        </w:tabs>
        <w:ind w:left="491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16"/>
        </w:tabs>
        <w:ind w:left="562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50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1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4248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6372" w:hanging="1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  <w:tab w:val="left" w:pos="720"/>
          <w:tab w:val="left" w:pos="1080"/>
          <w:tab w:val="left" w:pos="1800"/>
          <w:tab w:val="left" w:pos="21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4248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6372" w:hanging="1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dnožje">
    <w:name w:val="Podnožje"/>
    <w:next w:val="Podnožje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ez proreda">
    <w:name w:val="Bez proreda"/>
    <w:next w:val="Bez prored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